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【様式２】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同種・類似品の納入実績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物　品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圧縮梱包機</w:t>
            </w: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　　　　　　　　　　　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納入時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期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firstLine="2200" w:firstLineChars="1000"/>
              <w:jc w:val="lef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物　品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１．公示文「２．参加条件（２）実績要件」（以下「実績要件」という。）の納入実績について記入すること。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２．「物品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220" w:firstLineChars="10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納入実績を証する書類として、契約書および仕様書等の写し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42</Words>
  <Characters>245</Characters>
  <Application>JUST Note</Application>
  <Lines>2</Lines>
  <Paragraphs>1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2026-05-26T12:22:38Z</cp:lastPrinted>
  <dcterms:created xsi:type="dcterms:W3CDTF">2018-03-09T09:27:00Z</dcterms:created>
  <dcterms:modified xsi:type="dcterms:W3CDTF">2026-06-02T05:29:27Z</dcterms:modified>
  <cp:revision>12</cp:revision>
</cp:coreProperties>
</file>